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13</w:t>
      </w:r>
    </w:p>
    <w:p w:rsidR="00000000" w:rsidDel="00000000" w:rsidP="00000000" w:rsidRDefault="00000000" w:rsidRPr="00000000">
      <w:pPr>
        <w:pBdr/>
        <w:contextualSpacing w:val="0"/>
        <w:rPr/>
      </w:pPr>
      <w:r w:rsidDel="00000000" w:rsidR="00000000" w:rsidRPr="00000000">
        <w:rPr>
          <w:rtl w:val="0"/>
        </w:rPr>
        <w:t xml:space="preserve">Date: 4-10-17 -- 4-17-17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tab/>
        <w:t xml:space="preserve">Stuff and things.</w:t>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Got esplorascope working with our board. Wrote the things that people told me to.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71</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Tested LSM9DS1 functionality and verified that it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59</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Worked on making sure all the formatting on the wrapper is how Kyle wants it to work. Started investigating why ADC stopped working.</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51</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Helped troubleshoot and assemble board.  Found the manufacturer shorted the inductor to ground. Created the poster.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61</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Assembled two of the final boards. They showed major errors on the voltage regulation. After LOTS of hours of troubleshooting, we found that the manufacturer made an error. There were two pads connected that shouldn’t have been. Lee was able to fix it, and then I reassembled one of the CyMotes. We are waiting for more voltage regulators to show up to finish the other two. Kyle and I worked on the one working CyMote and had varied success. We could get the RGB LED to come on occasionally, and we saw the board over BLE once.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106.5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Board seems to be crashing every so often. Gotta fix that.</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ADC issues, exception handling for disconnects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Boards still don’t work</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 No voltage regulators, board isn’t working and we’re not done.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try to get cymote beta working with Nick. Make board stop crashing. Bring demo model up to speed.</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Final report work.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Work on integrating ADC and buttons, fix exception issues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Sam Neff - Help assemble boards, go through presentation, update, and ensure requirements are met.  Update website.</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w:t>
      </w:r>
      <w:r w:rsidDel="00000000" w:rsidR="00000000" w:rsidRPr="00000000">
        <w:rPr>
          <w:rtl w:val="0"/>
        </w:rPr>
        <w:t xml:space="preserve">Order parts, assemble boards when they show up, write part of final report, help software team, put together Demo model based off Alpha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ab/>
        <w:t xml:space="preserve">n/a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