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EE 491 Weekly Report 9 (Spring Break)</w:t>
      </w:r>
    </w:p>
    <w:p w:rsidR="00000000" w:rsidDel="00000000" w:rsidP="00000000" w:rsidRDefault="00000000" w:rsidRPr="00000000">
      <w:pPr>
        <w:pBdr/>
        <w:contextualSpacing w:val="0"/>
        <w:rPr/>
      </w:pPr>
      <w:r w:rsidDel="00000000" w:rsidR="00000000" w:rsidRPr="00000000">
        <w:rPr>
          <w:rtl w:val="0"/>
        </w:rPr>
        <w:t xml:space="preserve">Date: 3-13-17 -- 3-20-17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Group Number:  May1735</w:t>
      </w:r>
    </w:p>
    <w:p w:rsidR="00000000" w:rsidDel="00000000" w:rsidP="00000000" w:rsidRDefault="00000000" w:rsidRPr="00000000">
      <w:pPr>
        <w:pBdr/>
        <w:contextualSpacing w:val="0"/>
        <w:rPr/>
      </w:pPr>
      <w:r w:rsidDel="00000000" w:rsidR="00000000" w:rsidRPr="00000000">
        <w:rPr>
          <w:rtl w:val="0"/>
        </w:rPr>
        <w:t xml:space="preserve">Project Title:  Cy-Mote</w:t>
      </w:r>
    </w:p>
    <w:p w:rsidR="00000000" w:rsidDel="00000000" w:rsidP="00000000" w:rsidRDefault="00000000" w:rsidRPr="00000000">
      <w:pPr>
        <w:pBdr/>
        <w:contextualSpacing w:val="0"/>
        <w:rPr/>
      </w:pPr>
      <w:r w:rsidDel="00000000" w:rsidR="00000000" w:rsidRPr="00000000">
        <w:rPr>
          <w:rtl w:val="0"/>
        </w:rPr>
        <w:t xml:space="preserve">Advisor: Dr. Daniels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Team Members:</w:t>
      </w:r>
    </w:p>
    <w:p w:rsidR="00000000" w:rsidDel="00000000" w:rsidP="00000000" w:rsidRDefault="00000000" w:rsidRPr="00000000">
      <w:pPr>
        <w:pBdr/>
        <w:contextualSpacing w:val="0"/>
        <w:rPr/>
      </w:pPr>
      <w:r w:rsidDel="00000000" w:rsidR="00000000" w:rsidRPr="00000000">
        <w:rPr>
          <w:rtl w:val="0"/>
        </w:rPr>
        <w:t xml:space="preserve">Kyle Fischer - Team Lead</w:t>
      </w:r>
    </w:p>
    <w:p w:rsidR="00000000" w:rsidDel="00000000" w:rsidP="00000000" w:rsidRDefault="00000000" w:rsidRPr="00000000">
      <w:pPr>
        <w:pBdr/>
        <w:contextualSpacing w:val="0"/>
        <w:rPr/>
      </w:pPr>
      <w:r w:rsidDel="00000000" w:rsidR="00000000" w:rsidRPr="00000000">
        <w:rPr>
          <w:rtl w:val="0"/>
        </w:rPr>
        <w:t xml:space="preserve">Michael Linthicum - Communications Lead</w:t>
      </w:r>
    </w:p>
    <w:p w:rsidR="00000000" w:rsidDel="00000000" w:rsidP="00000000" w:rsidRDefault="00000000" w:rsidRPr="00000000">
      <w:pPr>
        <w:pBdr/>
        <w:contextualSpacing w:val="0"/>
        <w:rPr/>
      </w:pPr>
      <w:r w:rsidDel="00000000" w:rsidR="00000000" w:rsidRPr="00000000">
        <w:rPr>
          <w:rtl w:val="0"/>
        </w:rPr>
        <w:t xml:space="preserve">Daniel Shauger - Concept Holder Lead</w:t>
      </w:r>
    </w:p>
    <w:p w:rsidR="00000000" w:rsidDel="00000000" w:rsidP="00000000" w:rsidRDefault="00000000" w:rsidRPr="00000000">
      <w:pPr>
        <w:pBdr/>
        <w:contextualSpacing w:val="0"/>
        <w:rPr/>
      </w:pPr>
      <w:r w:rsidDel="00000000" w:rsidR="00000000" w:rsidRPr="00000000">
        <w:rPr>
          <w:rtl w:val="0"/>
        </w:rPr>
        <w:t xml:space="preserve">Sam Neff - Webmaster</w:t>
      </w:r>
    </w:p>
    <w:p w:rsidR="00000000" w:rsidDel="00000000" w:rsidP="00000000" w:rsidRDefault="00000000" w:rsidRPr="00000000">
      <w:pPr>
        <w:pBdr/>
        <w:contextualSpacing w:val="0"/>
        <w:rPr/>
      </w:pPr>
      <w:r w:rsidDel="00000000" w:rsidR="00000000" w:rsidRPr="00000000">
        <w:rPr>
          <w:rtl w:val="0"/>
        </w:rPr>
        <w:t xml:space="preserve">Nick Juelsgaard - Schedule and Planning Lead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Summary of the Week: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Software team took a break.  We spent this week getting our first board to work. We had several issues with the power components. The most important issue is that the Voltage regulator chip isn’t the correct chip. We ordered a variable supply version instead of a fixed supply version.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Past Week Accomplishments</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0"/>
        <w:gridCol w:w="3920"/>
        <w:gridCol w:w="1520"/>
        <w:gridCol w:w="1900"/>
        <w:tblGridChange w:id="0">
          <w:tblGrid>
            <w:gridCol w:w="2020"/>
            <w:gridCol w:w="3920"/>
            <w:gridCol w:w="1520"/>
            <w:gridCol w:w="190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break</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39</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Nothing, we planned Spring Break as break.</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37</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Break</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25</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Put first 2 PCB’s together, troubleshot, and tested.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44</w:t>
            </w:r>
          </w:p>
        </w:tc>
      </w:tr>
      <w:tr>
        <w:trPr>
          <w:trHeight w:val="360" w:hRule="atLeast"/>
        </w:trP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Started assembling and testing PCBs with Sam</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52.5</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Pending Issues: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Kyle Fischer - none</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Michael Linthicum - None</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Daniel Shauger - Same as previous week</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Sam Neff - The boards don’t work.  3.3 rail is held to 0.5 Volts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Nick Juelsgaard - Board issues. Need a new regulator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Comments and extended discussion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Plan for coming week</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Kyle Fischer - format all characteristics for PC wrapper to use.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Michael Linthicum - Continue work on PC wrapper and update LSM9DS0 code to LSM9DS1.</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Daniel Shauger - Continue wrapper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Sam Neff - </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Nick Juelsgaard - </w:t>
      </w:r>
      <w:r w:rsidDel="00000000" w:rsidR="00000000" w:rsidRPr="00000000">
        <w:rPr>
          <w:rtl w:val="0"/>
        </w:rPr>
        <w:t xml:space="preserve">PCB</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Summary of weekly advisor meeting:</w:t>
      </w:r>
    </w:p>
    <w:p w:rsidR="00000000" w:rsidDel="00000000" w:rsidP="00000000" w:rsidRDefault="00000000" w:rsidRPr="00000000">
      <w:pPr>
        <w:pBdr/>
        <w:contextualSpacing w:val="0"/>
        <w:rPr/>
      </w:pPr>
      <w:r w:rsidDel="00000000" w:rsidR="00000000" w:rsidRPr="00000000">
        <w:rPr>
          <w:rtl w:val="0"/>
        </w:rPr>
        <w:tab/>
        <w:t xml:space="preserve">None.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